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265EEB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B849AD">
        <w:rPr>
          <w:sz w:val="32"/>
          <w:szCs w:val="32"/>
        </w:rPr>
        <w:t>02.03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B849AD">
        <w:rPr>
          <w:sz w:val="32"/>
          <w:szCs w:val="32"/>
        </w:rPr>
        <w:t>8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b/>
          <w:sz w:val="32"/>
          <w:szCs w:val="32"/>
        </w:rPr>
      </w:pPr>
    </w:p>
    <w:p w:rsidR="00B849AD" w:rsidRPr="00B849AD" w:rsidRDefault="00B849AD" w:rsidP="00B849AD">
      <w:pPr>
        <w:shd w:val="clear" w:color="auto" w:fill="F9F9F9"/>
        <w:ind w:firstLine="709"/>
        <w:jc w:val="center"/>
        <w:rPr>
          <w:b/>
          <w:color w:val="000000"/>
          <w:sz w:val="28"/>
          <w:szCs w:val="28"/>
        </w:rPr>
      </w:pPr>
      <w:r w:rsidRPr="00B849AD">
        <w:rPr>
          <w:b/>
          <w:color w:val="000000"/>
          <w:sz w:val="28"/>
          <w:szCs w:val="28"/>
        </w:rPr>
        <w:t>Прокурор разъясняет: «Порядок предоставления ежегодного оплачиваемого отпуска».</w:t>
      </w:r>
    </w:p>
    <w:p w:rsidR="00B849AD" w:rsidRPr="00B849AD" w:rsidRDefault="00B849AD" w:rsidP="00B849AD">
      <w:pPr>
        <w:shd w:val="clear" w:color="auto" w:fill="F9F9F9"/>
        <w:ind w:firstLine="709"/>
        <w:jc w:val="center"/>
        <w:rPr>
          <w:b/>
          <w:color w:val="000000"/>
          <w:sz w:val="28"/>
          <w:szCs w:val="28"/>
        </w:rPr>
      </w:pP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В соответствии с законодательством каждый работник имеет право на отдых, одной из разновидностей которого являются отпуска, предоставляемые работникам с сохранением места работы (должности) и среднего заработка. Согласно ст. 115 Трудового кодекса РФ ежегодный основной оплачиваемый отпуск предоставляется работникам продолжительностью не менее 28 календарных дней. Оплачиваемый отпуск должен предоставляться работнику ежегодно.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утверждаемых работодателем (с учетом мнения выборного органа первичной профсоюзной организации – при ее наличии), не </w:t>
      </w:r>
      <w:proofErr w:type="gramStart"/>
      <w:r w:rsidRPr="00B849AD">
        <w:rPr>
          <w:color w:val="000000"/>
          <w:sz w:val="28"/>
          <w:szCs w:val="28"/>
        </w:rPr>
        <w:t>позднее</w:t>
      </w:r>
      <w:proofErr w:type="gramEnd"/>
      <w:r w:rsidRPr="00B849AD">
        <w:rPr>
          <w:color w:val="000000"/>
          <w:sz w:val="28"/>
          <w:szCs w:val="28"/>
        </w:rPr>
        <w:t xml:space="preserve"> чем за две недели до наступления календарного года. График обязателен как для работодателя, так и для работника.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Предоставление отпуска возможно и раньше, но только при согласии сторон, причем это право, но не обязанность работодателя.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Однако работодатель обязан предоставить оплачиваемый отпуск до истечения шести месяцев непрерывной работы по заявлению женщин – перед отпуском по беременности и родам или непосредственно после него; работников в возрасте до 18 лет; работников, усыновивших ребенка в возрасте до трех месяцев.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Кроме того, по желанию мужа ежегодный отпуск предоставляемся ему в период нахождения его супруги в отпуске по беременности и родам независимо от времени его непрерывной работы у данного работодателя. О времени начала отпуска работник должен быть извещен под личную подпись не позднее, чем за две недели до его начала.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 xml:space="preserve">Помимо ежегодного основного оплачиваемого отпуска продолжительностью 28 календарных дней в силу ст. 115 Трудового кодекса РФ допускается предоставление удлиненного отпуска работникам в возрасте до 18 лет (такие отпуска составляют 31 календарный день); педагогическим работникам. В соответствии с нормами ст. 23 </w:t>
      </w:r>
      <w:r w:rsidRPr="00B849AD">
        <w:rPr>
          <w:color w:val="000000"/>
          <w:sz w:val="28"/>
          <w:szCs w:val="28"/>
        </w:rPr>
        <w:lastRenderedPageBreak/>
        <w:t>Федерального закона «О социальной защите инвалидов в Российской Федерации» отпуск работающих инвалидов составляет не менее 30 календарных дней.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 xml:space="preserve">В случае незаконного отказа работодателя в предоставлении оплачиваемого отпуска работник вправе обжаловать его действия  в установленном законом судебном порядке. Также работник </w:t>
      </w:r>
      <w:proofErr w:type="gramStart"/>
      <w:r w:rsidRPr="00B849AD">
        <w:rPr>
          <w:color w:val="000000"/>
          <w:sz w:val="28"/>
          <w:szCs w:val="28"/>
        </w:rPr>
        <w:t>праве</w:t>
      </w:r>
      <w:proofErr w:type="gramEnd"/>
      <w:r w:rsidRPr="00B849AD">
        <w:rPr>
          <w:color w:val="000000"/>
          <w:sz w:val="28"/>
          <w:szCs w:val="28"/>
        </w:rPr>
        <w:t xml:space="preserve"> обратиться с заявлением в комиссию по трудовым спорам (при наличии КТС в организации, на предприятии),  Государственную инспекцию труда в Новосибирской области, в органы прокуратуры.</w:t>
      </w:r>
    </w:p>
    <w:p w:rsidR="00B849AD" w:rsidRPr="00B849AD" w:rsidRDefault="00B849AD" w:rsidP="00B849AD">
      <w:pPr>
        <w:jc w:val="both"/>
        <w:rPr>
          <w:rFonts w:eastAsia="Calibri"/>
          <w:sz w:val="28"/>
          <w:szCs w:val="28"/>
          <w:lang w:eastAsia="en-US"/>
        </w:rPr>
      </w:pPr>
    </w:p>
    <w:p w:rsidR="00B849AD" w:rsidRPr="00B849AD" w:rsidRDefault="00B849AD" w:rsidP="00B849A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Помощник прокурора</w:t>
      </w:r>
    </w:p>
    <w:p w:rsidR="00B849AD" w:rsidRPr="00B849AD" w:rsidRDefault="00B849AD" w:rsidP="00B849A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 xml:space="preserve">юрист 3 класса                                                                                          В.И. </w:t>
      </w:r>
      <w:proofErr w:type="spellStart"/>
      <w:r w:rsidRPr="00B849AD">
        <w:rPr>
          <w:rFonts w:eastAsia="Calibri"/>
          <w:sz w:val="28"/>
          <w:szCs w:val="28"/>
          <w:lang w:eastAsia="en-US"/>
        </w:rPr>
        <w:t>Минтус</w:t>
      </w:r>
      <w:proofErr w:type="spellEnd"/>
    </w:p>
    <w:p w:rsidR="00B849AD" w:rsidRPr="00B849AD" w:rsidRDefault="00B849AD" w:rsidP="00B849AD">
      <w:pPr>
        <w:jc w:val="both"/>
        <w:rPr>
          <w:rFonts w:eastAsia="Calibri"/>
          <w:sz w:val="28"/>
          <w:szCs w:val="28"/>
          <w:lang w:eastAsia="en-US"/>
        </w:rPr>
      </w:pPr>
    </w:p>
    <w:p w:rsidR="00B849AD" w:rsidRPr="00B849AD" w:rsidRDefault="00B849AD" w:rsidP="00B849A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Прокурор района</w:t>
      </w:r>
    </w:p>
    <w:p w:rsidR="00B849AD" w:rsidRPr="00B849AD" w:rsidRDefault="00B849AD" w:rsidP="00B849A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советник юстиции                                                                                  Р.В. Кузнецов</w:t>
      </w:r>
    </w:p>
    <w:p w:rsidR="005728E7" w:rsidRDefault="00C23CA7" w:rsidP="00C23CA7">
      <w:pPr>
        <w:widowControl w:val="0"/>
        <w:spacing w:line="360" w:lineRule="exact"/>
        <w:ind w:right="-1"/>
        <w:jc w:val="center"/>
        <w:rPr>
          <w:sz w:val="28"/>
          <w:szCs w:val="28"/>
        </w:rPr>
      </w:pPr>
      <w:r w:rsidRPr="00C23CA7">
        <w:rPr>
          <w:sz w:val="28"/>
          <w:szCs w:val="28"/>
        </w:rPr>
        <w:t xml:space="preserve"> </w:t>
      </w: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sz w:val="28"/>
          <w:szCs w:val="28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sz w:val="28"/>
          <w:szCs w:val="28"/>
        </w:rPr>
      </w:pPr>
    </w:p>
    <w:p w:rsidR="00B849AD" w:rsidRPr="00B849AD" w:rsidRDefault="00B849AD" w:rsidP="00B849AD">
      <w:pPr>
        <w:shd w:val="clear" w:color="auto" w:fill="FFFFFF"/>
        <w:jc w:val="center"/>
        <w:outlineLvl w:val="1"/>
        <w:rPr>
          <w:b/>
          <w:color w:val="000000"/>
          <w:sz w:val="28"/>
          <w:szCs w:val="28"/>
        </w:rPr>
      </w:pPr>
      <w:r w:rsidRPr="00B849AD">
        <w:rPr>
          <w:b/>
          <w:bCs/>
          <w:sz w:val="28"/>
          <w:szCs w:val="28"/>
        </w:rPr>
        <w:t>Прокурор разъясняет: «</w:t>
      </w:r>
      <w:r w:rsidRPr="00B849AD">
        <w:rPr>
          <w:b/>
          <w:color w:val="000000"/>
          <w:sz w:val="28"/>
          <w:szCs w:val="28"/>
        </w:rPr>
        <w:t>О порядке предоставления ежемесячных выплат лицам, осуществляющим уход за детьми-инвалидами».</w:t>
      </w:r>
    </w:p>
    <w:p w:rsidR="00B849AD" w:rsidRPr="00B849AD" w:rsidRDefault="00B849AD" w:rsidP="00B849AD">
      <w:pPr>
        <w:shd w:val="clear" w:color="auto" w:fill="FFFFFF"/>
        <w:outlineLvl w:val="1"/>
        <w:rPr>
          <w:b/>
          <w:color w:val="000000"/>
          <w:sz w:val="28"/>
          <w:szCs w:val="28"/>
        </w:rPr>
      </w:pP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Приказом Минтруда России от 11.09.2017 № 669н утвержден новый Административный регламент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I группы, прекращено действие Административного регламента, утвержденного 16 февраля 2016 г.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Для получения таких выплат необходимо обратиться в территориальный орган Пенсионного Фонда России с заявлением, которое рассматривается в течение 10 рабочих дней со всеми необходимыми документами.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Прием заявления и документов, поданных гражданином непосредственно в территориальный орган ПФР, в том числе через работодателя, осуществляется в день их подачи. Прием заявления и документов, направленных по почте, поданных через многофункциональный центр, заявления, представленного в форме электронного документа, осуществляется не позднее рабочего дня, следующего за днем их получения территориальным органом ПФР.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 xml:space="preserve">Определены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формы </w:t>
      </w:r>
      <w:proofErr w:type="gramStart"/>
      <w:r w:rsidRPr="00B849AD">
        <w:rPr>
          <w:color w:val="2C2C2C"/>
          <w:sz w:val="28"/>
          <w:szCs w:val="28"/>
        </w:rPr>
        <w:t>контроля за</w:t>
      </w:r>
      <w:proofErr w:type="gramEnd"/>
      <w:r w:rsidRPr="00B849AD">
        <w:rPr>
          <w:color w:val="2C2C2C"/>
          <w:sz w:val="28"/>
          <w:szCs w:val="28"/>
        </w:rPr>
        <w:t xml:space="preserve"> исполнением государственной услуги.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В приложении к регламенту приведены формы заявлений о назначении выплаты, о перерасчете ее размера, о согласии на осуществление неработающим трудоспособным лицом ухода за ребенком-инвалидом, о продолжении и прекращении такого ухода, о выплате неполученных сумм выплаты в связи со смертью ребенка-инвалида и др.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 xml:space="preserve">По сравнению с ранее действовавшим регламентом расширен перечень информации, размещаемой на Едином портале и сайте ПФР. Теперь в указанных </w:t>
      </w:r>
      <w:r w:rsidRPr="00B849AD">
        <w:rPr>
          <w:color w:val="2C2C2C"/>
          <w:sz w:val="28"/>
          <w:szCs w:val="28"/>
        </w:rPr>
        <w:lastRenderedPageBreak/>
        <w:t xml:space="preserve">источниках размещается также: краткое описание порядка предоставления государственной услуги; порядок обжалования решений, действий или бездействия должностных лиц, предоставляющих государственную услугу; информация о заключенном </w:t>
      </w:r>
      <w:proofErr w:type="gramStart"/>
      <w:r w:rsidRPr="00B849AD">
        <w:rPr>
          <w:color w:val="2C2C2C"/>
          <w:sz w:val="28"/>
          <w:szCs w:val="28"/>
        </w:rPr>
        <w:t>соглашении</w:t>
      </w:r>
      <w:proofErr w:type="gramEnd"/>
      <w:r w:rsidRPr="00B849AD">
        <w:rPr>
          <w:color w:val="2C2C2C"/>
          <w:sz w:val="28"/>
          <w:szCs w:val="28"/>
        </w:rPr>
        <w:t xml:space="preserve"> о взаимодействии; информация о возможности участия граждан в оценке качества предоставления государственной услуги, в том числе в оценке эффективности деятельности руководителя территориального органа ПФР, а также справочно-информационные материалы, содержащие сведения о порядке и способах проведения оценки.</w:t>
      </w:r>
    </w:p>
    <w:p w:rsidR="00B849AD" w:rsidRPr="00B849AD" w:rsidRDefault="00B849AD" w:rsidP="00B849AD">
      <w:pPr>
        <w:shd w:val="clear" w:color="auto" w:fill="FFFFFF"/>
        <w:outlineLvl w:val="1"/>
        <w:rPr>
          <w:color w:val="000000"/>
          <w:sz w:val="28"/>
          <w:szCs w:val="28"/>
        </w:rPr>
      </w:pP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Помощник прокурора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 xml:space="preserve">юрист 3 класса                                                                                          В.И. </w:t>
      </w:r>
      <w:proofErr w:type="spellStart"/>
      <w:r w:rsidRPr="00B849AD">
        <w:rPr>
          <w:rFonts w:eastAsia="Calibri"/>
          <w:sz w:val="28"/>
          <w:szCs w:val="28"/>
          <w:lang w:eastAsia="en-US"/>
        </w:rPr>
        <w:t>Минтус</w:t>
      </w:r>
      <w:proofErr w:type="spellEnd"/>
    </w:p>
    <w:p w:rsidR="00B849AD" w:rsidRPr="00B849AD" w:rsidRDefault="00B849AD" w:rsidP="00B849AD">
      <w:pPr>
        <w:rPr>
          <w:rFonts w:eastAsia="Calibri"/>
          <w:sz w:val="28"/>
          <w:szCs w:val="28"/>
          <w:lang w:eastAsia="en-US"/>
        </w:rPr>
      </w:pP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Прокурор района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советник юстиции                                                                                  Р.В. Кузнецов</w:t>
      </w: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B849AD" w:rsidRPr="00B849AD" w:rsidRDefault="00B849AD" w:rsidP="00B849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49AD">
        <w:rPr>
          <w:rFonts w:eastAsia="Calibri"/>
          <w:b/>
          <w:sz w:val="28"/>
          <w:szCs w:val="28"/>
          <w:lang w:eastAsia="en-US"/>
        </w:rPr>
        <w:t>Прокурор разъясняет: «Расторжение трудового договора с несовершеннолетними работниками».</w:t>
      </w:r>
    </w:p>
    <w:p w:rsidR="00B849AD" w:rsidRPr="00B849AD" w:rsidRDefault="00B849AD" w:rsidP="00B849AD">
      <w:pPr>
        <w:rPr>
          <w:rFonts w:eastAsia="Calibri"/>
          <w:b/>
          <w:sz w:val="28"/>
          <w:szCs w:val="28"/>
          <w:lang w:eastAsia="en-US"/>
        </w:rPr>
      </w:pP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Лица, не достигшие 18 лет (несовершеннолетние) в силу своего возраста относятся к категории работников, нуждающихся в особой защите. Трудовым законодательством Российской Федерации в отношении несовершеннолетних установлен целый комплекс ограничений, в том числе по расторжению трудового договора.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Несовершеннолетний работник может быть уволен на общих основаниях: по соглашению сторон, по собственному желанию, в порядке перевода к другому работодателю, по инициативе работодателя.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На работников в возрасте до 18 лет распространяются общие основания расторжения трудового договора, предусмотренные Трудовым кодексом РФ.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При расторжении трудового договора с несовершеннолетними работодатель должен соблюдать общий порядок, предусмотренный статьей 84.1 Трудового кодекса РФ, а именно: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- издать приказ о расторжении трудового договора и ознакомить с ним работника под роспись;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- внести в трудовую книжку работника запись об основании и о причине расторжения трудового договора и заверить ее подписью работника;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- произвести с работником в день увольнения окончательный расчет и выдать ему трудовую книжку. В получении трудовой книжки работник должен расписаться в книге учета движения трудовых книжек и вкладышей в них;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- выдать работнику по его письменному заявлению заверенные надлежащим образом копии документов, связанных с работой.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 xml:space="preserve">Кроме того, статьей 269 Трудового кодекса РФ предусмотрены дополнительные гарантии при расторжении трудового договора с несовершеннолетними работниками. В частности, если работодатель по своей инициативе решит расторгнуть трудовой договор с таким работником, то помимо соблюдения общего порядка увольнения ему необходимо получить согласие соответствующей государственной инспекции труда и </w:t>
      </w:r>
      <w:r w:rsidRPr="00B849AD">
        <w:rPr>
          <w:color w:val="2C2C2C"/>
          <w:sz w:val="28"/>
          <w:szCs w:val="28"/>
        </w:rPr>
        <w:lastRenderedPageBreak/>
        <w:t>комиссии по делам несовершеннолетних и защите их прав. Однако</w:t>
      </w:r>
      <w:proofErr w:type="gramStart"/>
      <w:r w:rsidRPr="00B849AD">
        <w:rPr>
          <w:color w:val="2C2C2C"/>
          <w:sz w:val="28"/>
          <w:szCs w:val="28"/>
        </w:rPr>
        <w:t>,</w:t>
      </w:r>
      <w:proofErr w:type="gramEnd"/>
      <w:r w:rsidRPr="00B849AD">
        <w:rPr>
          <w:color w:val="2C2C2C"/>
          <w:sz w:val="28"/>
          <w:szCs w:val="28"/>
        </w:rPr>
        <w:t xml:space="preserve"> данные требования не распространяется на случаи увольнения несовершеннолетних работников в связи с ликвидацией организации или прекращением деятельности индивидуальных предпринимателей.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Некоторым категориям работников, высвобождаемых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трудоустройством в этой или другой организации. К таким категориям относятся работники - дети-сироты и дети, оставшиеся без попечения родителей (п. 6 ст. 9 Федерального закона от 21.12.1996 N 159-ФЗ «О дополнительных гарантиях по социальной поддержке детей-сирот и детей, оставшихся без попечения родителей»).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B849AD">
        <w:rPr>
          <w:color w:val="2C2C2C"/>
          <w:sz w:val="28"/>
          <w:szCs w:val="28"/>
        </w:rPr>
        <w:t>Несоблюдение работодателем при увольнении несовершеннолетнего работника указанных требований трудового законодательства является основанием для признания увольнения незаконным и соответственно для восстановления работника на работе, оплаты времени вынужденного прогула и вынесения по требованию работника решения о возмещении ему денежной компенсации морального вреда, причиненного действиями работодателя.</w:t>
      </w:r>
    </w:p>
    <w:p w:rsidR="00B849AD" w:rsidRPr="00B849AD" w:rsidRDefault="00B849AD" w:rsidP="00B849AD">
      <w:pPr>
        <w:rPr>
          <w:rFonts w:eastAsia="Calibri"/>
          <w:sz w:val="28"/>
          <w:szCs w:val="28"/>
          <w:lang w:eastAsia="en-US"/>
        </w:rPr>
      </w:pP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Помощник прокурора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 xml:space="preserve">юрист 3 класса                                                                                      В.И. </w:t>
      </w:r>
      <w:proofErr w:type="spellStart"/>
      <w:r w:rsidRPr="00B849AD">
        <w:rPr>
          <w:rFonts w:eastAsia="Calibri"/>
          <w:sz w:val="28"/>
          <w:szCs w:val="28"/>
          <w:lang w:eastAsia="en-US"/>
        </w:rPr>
        <w:t>Минтус</w:t>
      </w:r>
      <w:proofErr w:type="spellEnd"/>
    </w:p>
    <w:p w:rsidR="00B849AD" w:rsidRPr="00B849AD" w:rsidRDefault="00B849AD" w:rsidP="00B849AD">
      <w:pPr>
        <w:rPr>
          <w:rFonts w:eastAsia="Calibri"/>
          <w:sz w:val="28"/>
          <w:szCs w:val="28"/>
          <w:lang w:eastAsia="en-US"/>
        </w:rPr>
      </w:pP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Прокурор района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советник юстиции                                                                              Р.В. Кузнецов</w:t>
      </w:r>
    </w:p>
    <w:p w:rsidR="00B849AD" w:rsidRDefault="00B849AD" w:rsidP="00B849AD">
      <w:pPr>
        <w:shd w:val="clear" w:color="auto" w:fill="F9F9F9"/>
        <w:jc w:val="center"/>
        <w:outlineLvl w:val="1"/>
        <w:rPr>
          <w:b/>
          <w:bCs/>
          <w:sz w:val="28"/>
          <w:szCs w:val="28"/>
        </w:rPr>
      </w:pPr>
    </w:p>
    <w:p w:rsidR="00B849AD" w:rsidRDefault="00B849AD" w:rsidP="00B849AD">
      <w:pPr>
        <w:shd w:val="clear" w:color="auto" w:fill="F9F9F9"/>
        <w:jc w:val="center"/>
        <w:outlineLvl w:val="1"/>
        <w:rPr>
          <w:b/>
          <w:bCs/>
          <w:sz w:val="28"/>
          <w:szCs w:val="28"/>
        </w:rPr>
      </w:pPr>
    </w:p>
    <w:p w:rsidR="00B849AD" w:rsidRPr="00B849AD" w:rsidRDefault="00B849AD" w:rsidP="00B849AD">
      <w:pPr>
        <w:shd w:val="clear" w:color="auto" w:fill="F9F9F9"/>
        <w:jc w:val="center"/>
        <w:outlineLvl w:val="1"/>
        <w:rPr>
          <w:b/>
          <w:bCs/>
          <w:sz w:val="28"/>
          <w:szCs w:val="28"/>
        </w:rPr>
      </w:pPr>
      <w:r w:rsidRPr="00B849AD">
        <w:rPr>
          <w:b/>
          <w:bCs/>
          <w:sz w:val="28"/>
          <w:szCs w:val="28"/>
        </w:rPr>
        <w:t>Прокурор разъясняет: «Медицинское вмешательство допускается при оформлении информационного добровольного согласия</w:t>
      </w:r>
      <w:r w:rsidRPr="00B849AD">
        <w:rPr>
          <w:b/>
          <w:color w:val="000000"/>
          <w:sz w:val="28"/>
          <w:szCs w:val="28"/>
        </w:rPr>
        <w:t>».</w:t>
      </w:r>
    </w:p>
    <w:p w:rsidR="00B849AD" w:rsidRPr="00B849AD" w:rsidRDefault="00B849AD" w:rsidP="00B849AD">
      <w:pPr>
        <w:shd w:val="clear" w:color="auto" w:fill="FFFFFF"/>
        <w:outlineLvl w:val="1"/>
        <w:rPr>
          <w:b/>
          <w:color w:val="000000"/>
          <w:sz w:val="28"/>
          <w:szCs w:val="28"/>
        </w:rPr>
      </w:pP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В силу статьи 20 Федерального закона от 21.11.2011 № 323-ФЗ «Об основах охраны здоровья граждан в Российской Федерации» медицинский работник не вправе проводить медицинское вмешательство без предварительного информированного добровольного согласия гражданина или его законного представителя. При этом такое согласие на медицинское вмешательство оформляется в письменной форме, подписывается гражданином, одним из родителей или иным законным представителем, а также медицинским работником, оформившим такое согласие, и подшивается в медицинскую документацию пациента.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proofErr w:type="gramStart"/>
      <w:r w:rsidRPr="00B849AD">
        <w:rPr>
          <w:color w:val="000000"/>
          <w:sz w:val="28"/>
          <w:szCs w:val="28"/>
        </w:rPr>
        <w:t>Перед оформлением информированного добровольного согласия, которое действует в течение всего срока оказания такой помощи, гражданину, родителям или иным законным представителям в доступной форме предоставляется полная информация о целях и методах оказания медицинской помощи, связанном с ними риске, о возможных вариантах видов медицинских вмешательств и их последствиях, в том числе о вероятности развития осложнений, а также о предполагаемых результатах оказания медицинской</w:t>
      </w:r>
      <w:proofErr w:type="gramEnd"/>
      <w:r w:rsidRPr="00B849AD">
        <w:rPr>
          <w:color w:val="000000"/>
          <w:sz w:val="28"/>
          <w:szCs w:val="28"/>
        </w:rPr>
        <w:t xml:space="preserve"> помощи.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Перечень видов медицинских вмешательств, требующих получения информированного добровольного согласия в целях получения первичной медико-</w:t>
      </w:r>
      <w:r w:rsidRPr="00B849AD">
        <w:rPr>
          <w:color w:val="000000"/>
          <w:sz w:val="28"/>
          <w:szCs w:val="28"/>
        </w:rPr>
        <w:lastRenderedPageBreak/>
        <w:t>санитарной помощи, утверждается Минздравом России. В соответствии с ведомственным приказом в такой  перечень включено следующее: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proofErr w:type="gramStart"/>
      <w:r w:rsidRPr="00B849AD">
        <w:rPr>
          <w:color w:val="000000"/>
          <w:sz w:val="28"/>
          <w:szCs w:val="28"/>
        </w:rPr>
        <w:t>- опрос, в том числе выявление жалоб, сбор анамнеза, осмотр, антропометрические исследования, измерение температуры и давления;</w:t>
      </w:r>
      <w:proofErr w:type="gramEnd"/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 xml:space="preserve">- </w:t>
      </w:r>
      <w:proofErr w:type="spellStart"/>
      <w:r w:rsidRPr="00B849AD">
        <w:rPr>
          <w:color w:val="000000"/>
          <w:sz w:val="28"/>
          <w:szCs w:val="28"/>
        </w:rPr>
        <w:t>неинвазивные</w:t>
      </w:r>
      <w:proofErr w:type="spellEnd"/>
      <w:r w:rsidRPr="00B849AD">
        <w:rPr>
          <w:color w:val="000000"/>
          <w:sz w:val="28"/>
          <w:szCs w:val="28"/>
        </w:rPr>
        <w:t xml:space="preserve"> исследования органа зрения (слуха) и зрительных (слуховых) функций, исследование функций нервной системы (чувствительной и двигательной сферы);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proofErr w:type="gramStart"/>
      <w:r w:rsidRPr="00B849AD">
        <w:rPr>
          <w:color w:val="000000"/>
          <w:sz w:val="28"/>
          <w:szCs w:val="28"/>
        </w:rPr>
        <w:t xml:space="preserve">- лабораторные (например, клинические и биохимические), функциональные (например, суточное </w:t>
      </w:r>
      <w:proofErr w:type="spellStart"/>
      <w:r w:rsidRPr="00B849AD">
        <w:rPr>
          <w:color w:val="000000"/>
          <w:sz w:val="28"/>
          <w:szCs w:val="28"/>
        </w:rPr>
        <w:t>мониторирование</w:t>
      </w:r>
      <w:proofErr w:type="spellEnd"/>
      <w:r w:rsidRPr="00B849AD">
        <w:rPr>
          <w:color w:val="000000"/>
          <w:sz w:val="28"/>
          <w:szCs w:val="28"/>
        </w:rPr>
        <w:t xml:space="preserve"> артериального давления, электроэнцефалография), рентгенологические методы обследования;</w:t>
      </w:r>
      <w:proofErr w:type="gramEnd"/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- введение лекарственных препаратов по назначению врача, медицинский массаж, лечебная физкультура.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Также законодателем предусмотрены случаи, когда медицинское вмешательство допускается без получения информированного добровольного согласия, в том числе: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-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(по решению консилиума врачей или лечащего (дежурного) врача, если консилиум собрать невозможно, либо суда в случаях и порядке, установленных законом);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- в отношении лиц, страдающих заболеваниями, представляющими опасность для окружающих (по решению консилиума врачей или лечащего (дежурного) врача, если консилиум собрать невозможно, либо суда в случаях и порядке, установленных законом);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- в отношении лиц, страдающих тяжелыми психическими расстройствами (по решению суда);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- в отношении лиц, совершивших общественно опасные деяния (преступления) (по решению суда);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- при проведении судебно-медицинской и (или) судебно-психиатрической экспертизы.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Таким образом, любой гражданин имеет право отказаться от медицинского вмешательства или потребовать его прекращения, если его случай не подпадает в данный перечень. При этом ему в доступной форме должны быть разъяснены возможные последствия такого отказа.</w:t>
      </w:r>
    </w:p>
    <w:p w:rsidR="00B849AD" w:rsidRPr="00B849AD" w:rsidRDefault="00B849AD" w:rsidP="00B849AD">
      <w:pPr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Действия медицинских работников, нарушающих права граждан, могут быть обжалованы в установленном законом судебном порядке.</w:t>
      </w:r>
    </w:p>
    <w:p w:rsidR="00B849AD" w:rsidRPr="00B849AD" w:rsidRDefault="00B849AD" w:rsidP="00B849AD">
      <w:pPr>
        <w:shd w:val="clear" w:color="auto" w:fill="FFFFFF"/>
        <w:outlineLvl w:val="1"/>
        <w:rPr>
          <w:color w:val="000000"/>
          <w:sz w:val="28"/>
          <w:szCs w:val="28"/>
        </w:rPr>
      </w:pP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Помощник прокурора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 xml:space="preserve">юрист 3 класса                                                                                          В.И. </w:t>
      </w:r>
      <w:proofErr w:type="spellStart"/>
      <w:r w:rsidRPr="00B849AD">
        <w:rPr>
          <w:rFonts w:eastAsia="Calibri"/>
          <w:sz w:val="28"/>
          <w:szCs w:val="28"/>
          <w:lang w:eastAsia="en-US"/>
        </w:rPr>
        <w:t>Минтус</w:t>
      </w:r>
      <w:proofErr w:type="spellEnd"/>
    </w:p>
    <w:p w:rsidR="00B849AD" w:rsidRPr="00B849AD" w:rsidRDefault="00B849AD" w:rsidP="00B849AD">
      <w:pPr>
        <w:rPr>
          <w:rFonts w:eastAsia="Calibri"/>
          <w:sz w:val="28"/>
          <w:szCs w:val="28"/>
          <w:lang w:eastAsia="en-US"/>
        </w:rPr>
      </w:pP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Прокурор района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советник юстиции                                                                                  Р.В. Кузнецов</w:t>
      </w:r>
    </w:p>
    <w:p w:rsidR="00B849AD" w:rsidRPr="00B849AD" w:rsidRDefault="00B849AD" w:rsidP="00B849A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49AD">
        <w:rPr>
          <w:b/>
          <w:bCs/>
          <w:color w:val="000000"/>
          <w:sz w:val="28"/>
          <w:szCs w:val="28"/>
        </w:rPr>
        <w:lastRenderedPageBreak/>
        <w:t>Прокурор разъясняет: «О нововведениях в сфере оборота алкогольной продукции»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849AD">
        <w:rPr>
          <w:color w:val="000000"/>
          <w:sz w:val="28"/>
          <w:szCs w:val="28"/>
        </w:rPr>
        <w:t> 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dst100392"/>
      <w:bookmarkEnd w:id="0"/>
      <w:r w:rsidRPr="00B849AD">
        <w:rPr>
          <w:bCs/>
          <w:color w:val="000000"/>
          <w:sz w:val="28"/>
          <w:szCs w:val="28"/>
        </w:rPr>
        <w:t>С 1 июля 2017 года организации, осуществляющие розничную продажу алкогольной продукции в сельских поселениях, обязаны фиксировать и передавать в ЕГАИС информацию об объеме производства и оборота алкогольной продукции.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dst100393"/>
      <w:bookmarkEnd w:id="1"/>
      <w:r w:rsidRPr="00B849AD">
        <w:rPr>
          <w:color w:val="000000"/>
          <w:sz w:val="28"/>
          <w:szCs w:val="28"/>
        </w:rPr>
        <w:t>С этой целью указанные организации обязаны оснастить основное технологическое оборудование и оборудование для учета объема оборота и (или) использования для собственных нужд этилового спирта, алкогольной и спиртосодержащей продукции техническими средствами фиксации и передачи информации.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dst100394"/>
      <w:bookmarkEnd w:id="2"/>
      <w:r w:rsidRPr="00B849AD">
        <w:rPr>
          <w:color w:val="000000"/>
          <w:sz w:val="28"/>
          <w:szCs w:val="28"/>
        </w:rPr>
        <w:t>Данное требование не распространяется на учет объема розничной продажи алкогольной продукции, осуществляемой в поселениях, в которых отсутствует точка доступа к сети «Интернет». Перечень таких поселений определяется Правительством РФ.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dst100395"/>
      <w:bookmarkEnd w:id="3"/>
      <w:r w:rsidRPr="00B849AD">
        <w:rPr>
          <w:color w:val="000000"/>
          <w:sz w:val="28"/>
          <w:szCs w:val="28"/>
        </w:rPr>
        <w:t>Также предусматривается, что: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4" w:name="dst100396"/>
      <w:bookmarkEnd w:id="4"/>
      <w:proofErr w:type="gramStart"/>
      <w:r w:rsidRPr="00B849AD">
        <w:rPr>
          <w:color w:val="000000"/>
          <w:sz w:val="28"/>
          <w:szCs w:val="28"/>
        </w:rPr>
        <w:t>- программно-аппаратные средства организаций, осуществляющих розничную продажу алкогольной продукции в сельских поселениях,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сведений о такой продукции, указанных в пункте 3.1 статьи 12 Федерального закона от 22.11.1995 № 171-ФЗ «О государственном регулировании производства и оборота этилового спирта, алкогольной и спиртосодержащей</w:t>
      </w:r>
      <w:proofErr w:type="gramEnd"/>
      <w:r w:rsidRPr="00B849AD">
        <w:rPr>
          <w:color w:val="000000"/>
          <w:sz w:val="28"/>
          <w:szCs w:val="28"/>
        </w:rPr>
        <w:t xml:space="preserve"> продукции и об ограничении потребления (распития) алкогольной продукции», а также прием и передачу информации об обороте (за исключением импорта) такой продукции;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5" w:name="dst100397"/>
      <w:bookmarkEnd w:id="5"/>
      <w:r w:rsidRPr="00B849AD">
        <w:rPr>
          <w:color w:val="000000"/>
          <w:sz w:val="28"/>
          <w:szCs w:val="28"/>
        </w:rPr>
        <w:t xml:space="preserve">- программно-аппаратные средства индивидуальных предпринимателей, осуществляющих закупку пива и пивных напитков, сидра, </w:t>
      </w:r>
      <w:proofErr w:type="spellStart"/>
      <w:r w:rsidRPr="00B849AD">
        <w:rPr>
          <w:color w:val="000000"/>
          <w:sz w:val="28"/>
          <w:szCs w:val="28"/>
        </w:rPr>
        <w:t>пуаре</w:t>
      </w:r>
      <w:proofErr w:type="spellEnd"/>
      <w:r w:rsidRPr="00B849AD">
        <w:rPr>
          <w:color w:val="000000"/>
          <w:sz w:val="28"/>
          <w:szCs w:val="28"/>
        </w:rPr>
        <w:t>, медовухи в целях последующей розничной продажи такой продукции в сельских поселениях, должны обеспечивать прием и передачу информации об обороте такой продукции.</w:t>
      </w:r>
    </w:p>
    <w:p w:rsidR="00B849AD" w:rsidRPr="00B849AD" w:rsidRDefault="00B849AD" w:rsidP="00B849AD">
      <w:pPr>
        <w:shd w:val="clear" w:color="auto" w:fill="FFFFFF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bookmarkStart w:id="6" w:name="dst100398"/>
      <w:bookmarkStart w:id="7" w:name="dst100399"/>
      <w:bookmarkEnd w:id="6"/>
      <w:bookmarkEnd w:id="7"/>
      <w:proofErr w:type="gramStart"/>
      <w:r w:rsidRPr="00B849AD">
        <w:rPr>
          <w:color w:val="000000"/>
          <w:kern w:val="36"/>
          <w:sz w:val="28"/>
          <w:szCs w:val="28"/>
        </w:rPr>
        <w:t xml:space="preserve">Также, </w:t>
      </w:r>
      <w:r w:rsidRPr="00B849AD">
        <w:rPr>
          <w:bCs/>
          <w:color w:val="333333"/>
          <w:kern w:val="36"/>
          <w:sz w:val="28"/>
          <w:szCs w:val="28"/>
        </w:rPr>
        <w:t xml:space="preserve">Федеральным законом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Кодекс Российской Федерации об административных правонарушениях» от 23.06.2016 № 202-ФЗ </w:t>
      </w:r>
      <w:r w:rsidRPr="00B849AD">
        <w:rPr>
          <w:color w:val="000000"/>
          <w:kern w:val="36"/>
          <w:sz w:val="28"/>
          <w:szCs w:val="28"/>
        </w:rPr>
        <w:t>введена</w:t>
      </w:r>
      <w:r w:rsidRPr="00B849AD">
        <w:rPr>
          <w:bCs/>
          <w:color w:val="000000"/>
          <w:kern w:val="36"/>
          <w:sz w:val="28"/>
          <w:szCs w:val="28"/>
        </w:rPr>
        <w:t xml:space="preserve"> административная ответственность за розничную продажу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</w:t>
      </w:r>
      <w:proofErr w:type="gramEnd"/>
      <w:r w:rsidRPr="00B849AD">
        <w:rPr>
          <w:bCs/>
          <w:color w:val="000000"/>
          <w:kern w:val="36"/>
          <w:sz w:val="28"/>
          <w:szCs w:val="28"/>
        </w:rPr>
        <w:t xml:space="preserve"> или иного полимерного материала) объемом более 1500 миллилитров</w:t>
      </w:r>
    </w:p>
    <w:p w:rsidR="00B849AD" w:rsidRPr="00B849AD" w:rsidRDefault="00B849AD" w:rsidP="00B849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8" w:name="dst100400"/>
      <w:bookmarkEnd w:id="8"/>
      <w:r w:rsidRPr="00B849AD">
        <w:rPr>
          <w:color w:val="000000"/>
          <w:sz w:val="28"/>
          <w:szCs w:val="28"/>
        </w:rPr>
        <w:t>Указанное правонарушение влечет наложение административного штрафа на должностных лиц в размере от 100 тыс. до 200 тыс. рублей с конфискацией предметов административного правонарушения или без таковой; на юридических лиц - от 300 тыс. до 500 тыс. рублей с конфи</w:t>
      </w:r>
      <w:bookmarkStart w:id="9" w:name="_GoBack"/>
      <w:bookmarkEnd w:id="9"/>
      <w:r w:rsidRPr="00B849AD">
        <w:rPr>
          <w:color w:val="000000"/>
          <w:sz w:val="28"/>
          <w:szCs w:val="28"/>
        </w:rPr>
        <w:t>скацией предметов административного правонарушения или без таковой.</w:t>
      </w:r>
    </w:p>
    <w:p w:rsidR="00B849AD" w:rsidRPr="00B849AD" w:rsidRDefault="00B849AD" w:rsidP="00B849AD">
      <w:pPr>
        <w:rPr>
          <w:rFonts w:eastAsia="Calibri"/>
          <w:sz w:val="28"/>
          <w:szCs w:val="28"/>
          <w:lang w:eastAsia="en-US"/>
        </w:rPr>
      </w:pPr>
      <w:bookmarkStart w:id="10" w:name="dst100401"/>
      <w:bookmarkEnd w:id="10"/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Помощник прокурора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 xml:space="preserve">юрист 3 класса                                                                                              В.И. </w:t>
      </w:r>
      <w:proofErr w:type="spellStart"/>
      <w:r w:rsidRPr="00B849AD">
        <w:rPr>
          <w:rFonts w:eastAsia="Calibri"/>
          <w:sz w:val="28"/>
          <w:szCs w:val="28"/>
          <w:lang w:eastAsia="en-US"/>
        </w:rPr>
        <w:t>Минтус</w:t>
      </w:r>
      <w:proofErr w:type="spellEnd"/>
    </w:p>
    <w:p w:rsidR="00B849AD" w:rsidRPr="00B849AD" w:rsidRDefault="00B849AD" w:rsidP="00B849AD">
      <w:pPr>
        <w:rPr>
          <w:rFonts w:eastAsia="Calibri"/>
          <w:sz w:val="28"/>
          <w:szCs w:val="28"/>
          <w:lang w:eastAsia="en-US"/>
        </w:rPr>
      </w:pP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Прокурор района</w:t>
      </w:r>
    </w:p>
    <w:p w:rsidR="00B849AD" w:rsidRPr="00B849AD" w:rsidRDefault="00B849AD" w:rsidP="00B849A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849AD">
        <w:rPr>
          <w:rFonts w:eastAsia="Calibri"/>
          <w:sz w:val="28"/>
          <w:szCs w:val="28"/>
          <w:lang w:eastAsia="en-US"/>
        </w:rPr>
        <w:t>советник юстиции                                                                                      Р.В. Кузнецов</w:t>
      </w: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sectPr w:rsidR="00B849AD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EB" w:rsidRDefault="00265EEB" w:rsidP="00AC2A74">
      <w:r>
        <w:separator/>
      </w:r>
    </w:p>
  </w:endnote>
  <w:endnote w:type="continuationSeparator" w:id="0">
    <w:p w:rsidR="00265EEB" w:rsidRDefault="00265EEB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EB" w:rsidRDefault="00265EEB" w:rsidP="00AC2A74">
      <w:r>
        <w:separator/>
      </w:r>
    </w:p>
  </w:footnote>
  <w:footnote w:type="continuationSeparator" w:id="0">
    <w:p w:rsidR="00265EEB" w:rsidRDefault="00265EEB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C8EF-FB65-43A1-B0F8-1064B3E1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50</cp:revision>
  <cp:lastPrinted>2018-03-05T04:26:00Z</cp:lastPrinted>
  <dcterms:created xsi:type="dcterms:W3CDTF">2016-07-27T09:49:00Z</dcterms:created>
  <dcterms:modified xsi:type="dcterms:W3CDTF">2018-03-05T05:18:00Z</dcterms:modified>
</cp:coreProperties>
</file>